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"/>
        <w:gridCol w:w="4245"/>
        <w:gridCol w:w="5437"/>
        <w:gridCol w:w="146"/>
      </w:tblGrid>
      <w:tr w:rsidR="00F76DFF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F76DFF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76DFF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76DFF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Gertrúda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RNDr., PhD.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1D2" w:rsidRPr="001C71D2" w:rsidRDefault="00A973C8" w:rsidP="001C71D2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C71D2" w:rsidRPr="001C71D2">
              <w:rPr>
                <w:sz w:val="16"/>
                <w:szCs w:val="16"/>
              </w:rPr>
              <w:t>https://www.portalvs.sk/regzam/detail/12302</w:t>
            </w:r>
          </w:p>
          <w:p w:rsidR="00F76DFF" w:rsidRDefault="00F76DFF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Public Health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Textpoznmkypodiarou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</w:p>
          <w:p w:rsidR="00F76DFF" w:rsidRDefault="00F76DFF" w:rsidP="009E3E36">
            <w:pPr>
              <w:pStyle w:val="Textpoznmkypodiarou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F76DFF" w:rsidRDefault="00A973C8" w:rsidP="009E3E36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MIKOLASOVA G.,, NADDOUR,A., SIMONEK,T., BAKOS, M.,, BUJDOVA,N., KONOSOVA,H., HEIDER,P., CZARNECKI, P.,PAUER, K., BIELOVA, M., BYDZOVSKY,J., JACKULIKOVA,M., TRILISINSKAYA, I.,  HUNADYOVA, S.,MRAZOVA,M.,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Peri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HAJ ALI,  SUBRAMANINAN,S., BENCA J., KRCMERY, V.::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Absence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outbreaks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gastroentities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 UNHCR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refugee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camp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.   In.: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Medical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Horizont / Lekársky obzor  69, 2020, č. 5 pp.375-376 </w:t>
            </w:r>
            <w:r>
              <w:rPr>
                <w:rFonts w:ascii="Calibri" w:hAnsi="Calibri" w:cs="Calibri"/>
                <w:color w:val="444444"/>
                <w:sz w:val="16"/>
                <w:szCs w:val="16"/>
                <w:highlight w:val="white"/>
              </w:rPr>
              <w:t>ISSN 0457-4214</w:t>
            </w:r>
          </w:p>
          <w:p w:rsidR="00F76DFF" w:rsidRDefault="00F76DFF" w:rsidP="009E3E36">
            <w:pPr>
              <w:pStyle w:val="Normlny1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973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</w:rPr>
              <w:t>174410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2A567C" w:rsidRDefault="00431D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hyperlink r:id="rId17" w:tgtFrame="_blank" w:history="1">
              <w:r w:rsidR="002A567C" w:rsidRPr="002A567C">
                <w:rPr>
                  <w:rFonts w:cstheme="minorHAnsi"/>
                  <w:color w:val="2F1713"/>
                  <w:sz w:val="16"/>
                  <w:szCs w:val="16"/>
                  <w:u w:val="single"/>
                  <w:shd w:val="clear" w:color="auto" w:fill="F5F5F5"/>
                </w:rPr>
                <w:t>https://app.crepc.sk/?fn=detailBiblioForm&amp;sid=CCC58BA4FA4903AAF02B39214D</w:t>
              </w:r>
            </w:hyperlink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C26A50" w:rsidRDefault="00C26A50" w:rsidP="009E3E3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15D3F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615D3F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>, Gertrúda [Autor, 6%]</w:t>
            </w:r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Naddour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Annamarie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6%]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Šimonek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Tomáš [Autor, 6%]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6%]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Bujdová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Nataša [Autor, 6%]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Heidler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Petra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Paweł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Stanisław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Kristína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Bielová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Iana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Hunyadiová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Stanislava [Autor, 5%] ; Mrázová, Mariana [Autor, 5%] ; Haj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5%] ; Benca, Juraj [Autor, 5%] ; </w:t>
            </w:r>
            <w:proofErr w:type="spellStart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Vladimír [Autor, 5%]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bookmarkStart w:id="1" w:name="_GoBack"/>
        <w:bookmarkEnd w:id="1"/>
      </w:tr>
      <w:tr w:rsidR="00F76DFF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6E4123" w:rsidRDefault="006E4123" w:rsidP="006E412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Gastroentitída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je obávaná komplikácia migrácie a ozbrojených konfliktov v dôsledku problémového zásobovania vodou a potravinami. Sledoval sa výskyt hnačkových ochorení spomedzi 9590 rezidentov migračného tábora.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Gastroentitída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sa vyskytla iba u 2 % rezidentov a len u 8 % pacientov (detí). Pokiaľ sú migranti umiestnení v zariadeniach s dobr</w:t>
            </w:r>
            <w:r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e</w:t>
            </w:r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tepelne spracovanou stravou a zásobovaní</w:t>
            </w:r>
            <w:r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m</w:t>
            </w:r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nezávadnou pitnou vodou, riziko epidémie hnačkových ochorení je aj </w:t>
            </w:r>
            <w:r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u </w:t>
            </w:r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de</w:t>
            </w:r>
            <w:r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ts</w:t>
            </w:r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kých migrantov a ich rodín nízke.</w:t>
            </w:r>
            <w:r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/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Gastroenteritis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occurs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all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over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world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generally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risky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population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patients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immunodeficiency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due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variable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reason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. In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our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study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was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main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aim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epidemiology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survey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particularly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pediatric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population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,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retro-analysis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outbreaks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associated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year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season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suspected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repetition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certain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illness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investigated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period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2018 and 2019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gathered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data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9601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visits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illness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acute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gastroenteritis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was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diagnosed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in 183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cases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If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migrants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placed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establishments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good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heat-treated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diet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safe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drinking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water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supply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risk of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an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epidemic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diarrhea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also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migrants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their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families</w:t>
            </w:r>
            <w:proofErr w:type="spellEnd"/>
            <w:r w:rsidRPr="006E4123">
              <w:rPr>
                <w:rFonts w:cstheme="minorHAnsi"/>
                <w:color w:val="444444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="Helvetica" w:hAnsi="Helvetica"/>
                <w:color w:val="444444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431D4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PredformtovanHTML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Gastroentitis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is a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serious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complication of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migra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nts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and  people</w:t>
            </w:r>
            <w:proofErr w:type="gram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area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 xml:space="preserve"> of a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>rmed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conflicts due to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problematic water and food supplies.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Environmental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conditions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namely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food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storage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water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sanitation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community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family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settings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importance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transmission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Moreover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predominantly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infected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fecal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- oral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our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study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main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aim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survey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particularly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pediatric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population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in UNHCR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refugee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camp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retro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analysis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outbreaks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associated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year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season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suspected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repetition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certain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illness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>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1.Bielova,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Maslak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Gombita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P., Laca, P.,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Krcmery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Giertliova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D., Vrankova, E.,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Igliarova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Matel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A., Roman, L.,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Kozon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Czarneczki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Hochman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R.</w:t>
            </w:r>
          </w:p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RelativeLowIncidence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Post-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CovidSyndrome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HomelessInfectedDuringSecondWave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Spring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2021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Covid-19 [Relatívne nízka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incidencianost-COVlD-syndrúmu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Lekarsky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Obzor, 70 (12),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454-456. </w:t>
            </w:r>
          </w:p>
          <w:p w:rsidR="00F76DFF" w:rsidRDefault="00A973C8" w:rsidP="009E3E36">
            <w:pPr>
              <w:pStyle w:val="PredformtovanHTML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Mrazova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Mrazova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Manya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Z., Mraz,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Mlynarova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Krcmery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V.</w:t>
            </w:r>
          </w:p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Preparedness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HealthcareProfessionalsforNationwide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Testing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Slovakia [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Pripravenost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Lekarsky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Obzor, 70 (12),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464-468. </w:t>
            </w:r>
          </w:p>
          <w:p w:rsidR="00F76DFF" w:rsidRDefault="00A973C8" w:rsidP="009E3E36">
            <w:pPr>
              <w:pStyle w:val="PredformtovanHTML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Grey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E.,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Krcmery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Mrazova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M., Radi, F.,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Bundzelova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K.,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Suvada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Giertliova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D.,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Gallova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A., Valach,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Czarneczki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Hardy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M.</w:t>
            </w:r>
          </w:p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Chronic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Post-Covid-19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Syndrome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- a Variety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theChronicFatigueDisease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?</w:t>
            </w:r>
          </w:p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(2021)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Lekarsky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Obzor, 70 (12),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442-443. </w:t>
            </w:r>
          </w:p>
          <w:p w:rsidR="00F76DFF" w:rsidRDefault="00A973C8" w:rsidP="009E3E36">
            <w:pPr>
              <w:pStyle w:val="PredformtovanHTML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Miklosko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Hochman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Gombita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Maszlak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Krcmery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Czarnecki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Pavlovicova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Bosnakova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Sladeckova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Kovac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R.,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Taziarova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M., Zemko, P., Matejova, A.,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Drgova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Magyarova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G.,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Bozik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Bernadic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Matulnik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Trilisinskaja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J.,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Bujdova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N.</w:t>
            </w:r>
          </w:p>
          <w:p w:rsidR="00F76DFF" w:rsidRDefault="00A973C8" w:rsidP="009E3E36">
            <w:pPr>
              <w:pStyle w:val="PredformtovanHTML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UnexpectedLow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Mortality on Covid-19 in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HomelessDuringSpringWave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2021 [Prekvapivo nízka mortalita bezdomovcov na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kovidovú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infekciu počas jarnej vlny 2021] (2021)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Lekarsky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Obzor, 70 (12),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pp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490-492.</w:t>
            </w:r>
          </w:p>
          <w:p w:rsidR="00F76DFF" w:rsidRDefault="00A973C8" w:rsidP="009E3E3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Cauda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R .,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Ondrusova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Z .,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Tomanek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Hardy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M.: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We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shall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start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Health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Intervention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against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Collateral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Effect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Pandemic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Metabolic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Cardiovascular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Mental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Health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Migrants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Caregivers</w:t>
            </w:r>
            <w:proofErr w:type="spellEnd"/>
          </w:p>
          <w:p w:rsidR="00F76DFF" w:rsidRDefault="00A973C8" w:rsidP="009E3E36">
            <w:pPr>
              <w:spacing w:after="0" w:line="240" w:lineRule="auto"/>
              <w:jc w:val="both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Author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(s):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Source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: CLINICAL SOCIAL WORK AND HEALTH INTERVENTION 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Volume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: 12 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Issue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: 3 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Pages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: 6-8  DOI: 10.22359/cswhi_12_3_20  </w:t>
            </w:r>
            <w:proofErr w:type="spellStart"/>
            <w:r>
              <w:rPr>
                <w:rFonts w:ascii="Calibri" w:hAnsi="Calibri" w:cs="Calibri"/>
                <w:bCs/>
                <w:sz w:val="16"/>
                <w:szCs w:val="16"/>
              </w:rPr>
              <w:t>Published</w:t>
            </w:r>
            <w:proofErr w:type="spellEnd"/>
            <w:r>
              <w:rPr>
                <w:rFonts w:ascii="Calibri" w:hAnsi="Calibri" w:cs="Calibri"/>
                <w:bCs/>
                <w:sz w:val="16"/>
                <w:szCs w:val="16"/>
              </w:rPr>
              <w:t>: 2021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>Gastroentitída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je vážnou komplikáciou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u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migrantov a ľudí z oblasti ozbrojených konfliktov v dôsledku problematického zásobovania vodou a potravinami. Podmienky prostredia,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hlavne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: skladovanie potravín,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nezávadnosť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vody a komunitné alebo rodinné prostredie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majú veľký význam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v ceste prenosu.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Predovšetkým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deti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sú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infikované prevažne fekálno-orálnou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cstou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 Hlavným cieľom našej štúdie  je prieskum  najmä detskej populácie v tá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bore UNHCR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a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>retroanalýza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prepuknutia choroby súvisiacej s ročným obdobím a podozrením na opakovanie určitého ochorenia.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Hranice EU a Slovenska prekročí veľa migrantov a utečencov z rôznych krajín. Preto musíme byť pripravení predchádzať a liečiť prenosné a neprenosné ochorenia spojené s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migáciou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  /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Gastroentitis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is a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serious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complication of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migra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nts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and  people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area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 xml:space="preserve"> of a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>rmed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conflicts due to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problematic water and food supplies.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Environmental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conditions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namely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food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storage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water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sanitation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community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family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settings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importance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transmission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Moreover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mainly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at risk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infection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fecal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- oral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border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EU and Slovakia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cross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many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migrant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refugees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from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different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countries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who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came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transit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Slovak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republic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need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be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prepared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for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prevention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lastRenderedPageBreak/>
              <w:t>treatment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communicable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noncommunicable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disease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connection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>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F43D0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>Gastroentitída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je vážnou komplikáciou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u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migrantov a ľudí z oblasti ozbrojených konfliktov v dôsledku problematického zásobovania vodou a potravinami. 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Predovšetkým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deti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sú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infikované prevažne fekálno-orálnou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cstou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 Hlavným cieľom našej štúdie  je prieskum  najmä detskej populácie v tá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bore UNHCR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a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>retroanalýza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"/>
              </w:rPr>
              <w:t xml:space="preserve"> prepuknutia choroby súvisiacej s ročným obdobím a podozrením na opakovanie určitého ochorenia.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Hranice EU a Slovenska prekročí veľa migrantov a utečencov z rôznych krajín. Preto musíme byť pripravení predchádzať a liečiť prenosné a neprenosné ochorenia spojené s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migáciou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Na starostlivosti o deti ale aj o dospelých migrantov majú veľký podiel aj </w:t>
            </w:r>
            <w:r w:rsidR="00A545F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verejní zdravotníci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 rámci prevencie, zabezpečovania stravy  a vhodných podmienok v táboroch pre</w:t>
            </w:r>
            <w:r w:rsidR="00A545F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migrantov.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A545F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Taktiež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 pri starostlivosti v súvislosti s prenosnými infekčnými ochoreniami. Táto téma je aktuálna v</w:t>
            </w:r>
            <w:r w:rsidR="00BF43D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 predmete ochrany verejného zdravia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/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Gastroentitis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is a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serious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complication of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migra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nts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and  people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area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 xml:space="preserve"> of a</w:t>
            </w:r>
            <w:proofErr w:type="spellStart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>rmed</w:t>
            </w:r>
            <w:proofErr w:type="spellEnd"/>
            <w:r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conflicts due to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problematic water and food supplies.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Environmental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conditions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namely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food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storage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water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sanitation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community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family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settings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importance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transmission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Moreover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mainly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at risk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infection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fecal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- oral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rout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border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of EU and Slovakia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cross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many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migrant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refugees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from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different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countries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who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came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transit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Slovak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republic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need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be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prepared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for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prevention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treatment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communicable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noncommunicable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disease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connection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>.</w:t>
            </w:r>
            <w:r w:rsidR="00BF43D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BF43D0">
              <w:rPr>
                <w:rFonts w:ascii="Calibri" w:eastAsia="SimSun" w:hAnsi="Calibri" w:cs="Calibri"/>
                <w:sz w:val="16"/>
                <w:szCs w:val="16"/>
              </w:rPr>
              <w:t>P</w:t>
            </w:r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>ublic</w:t>
            </w:r>
            <w:proofErr w:type="spellEnd"/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>worker</w:t>
            </w:r>
            <w:proofErr w:type="spellEnd"/>
            <w:r w:rsidR="00BF43D0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r w:rsidR="00BF43D0" w:rsidRPr="00BF43D0">
              <w:rPr>
                <w:rFonts w:ascii="Calibri" w:eastAsia="SimSun" w:hAnsi="Calibri" w:cs="Calibri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also have a large </w:t>
            </w:r>
            <w:proofErr w:type="spellStart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range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in the care of children as well as adult migrants in the prevention, food provision and suitable conditions in refugee camps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and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in the care of communicable infectious diseases.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topic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current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subject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health</w:t>
            </w:r>
            <w:proofErr w:type="spellEnd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711A0C" w:rsidRP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protection</w:t>
            </w:r>
            <w:proofErr w:type="spellEnd"/>
            <w:r w:rsidR="00711A0C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76DFF" w:rsidRDefault="00F76DFF"/>
    <w:sectPr w:rsidR="00F76DFF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44" w:rsidRDefault="00431D44">
      <w:pPr>
        <w:spacing w:line="240" w:lineRule="auto"/>
      </w:pPr>
      <w:r>
        <w:separator/>
      </w:r>
    </w:p>
  </w:endnote>
  <w:endnote w:type="continuationSeparator" w:id="0">
    <w:p w:rsidR="00431D44" w:rsidRDefault="00431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44" w:rsidRDefault="00431D44">
      <w:pPr>
        <w:spacing w:after="0"/>
      </w:pPr>
      <w:r>
        <w:separator/>
      </w:r>
    </w:p>
  </w:footnote>
  <w:footnote w:type="continuationSeparator" w:id="0">
    <w:p w:rsidR="00431D44" w:rsidRDefault="0043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190A9C"/>
    <w:rsid w:val="001C71D2"/>
    <w:rsid w:val="00211BB7"/>
    <w:rsid w:val="002A567C"/>
    <w:rsid w:val="00431D44"/>
    <w:rsid w:val="004C0ADE"/>
    <w:rsid w:val="00615D3F"/>
    <w:rsid w:val="006E4123"/>
    <w:rsid w:val="00711A0C"/>
    <w:rsid w:val="0073261A"/>
    <w:rsid w:val="007F1049"/>
    <w:rsid w:val="009E3E36"/>
    <w:rsid w:val="00A545F6"/>
    <w:rsid w:val="00A973C8"/>
    <w:rsid w:val="00B95C76"/>
    <w:rsid w:val="00BF43D0"/>
    <w:rsid w:val="00C26A50"/>
    <w:rsid w:val="00EC29F7"/>
    <w:rsid w:val="00F76DFF"/>
    <w:rsid w:val="00FA00D0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7F5C3-2116-4325-BE61-8DB77FAB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CCC58BA4FA4903AAF02B39214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VSSVA 02</cp:lastModifiedBy>
  <cp:revision>11</cp:revision>
  <dcterms:created xsi:type="dcterms:W3CDTF">2022-03-10T08:22:00Z</dcterms:created>
  <dcterms:modified xsi:type="dcterms:W3CDTF">2022-08-12T09:26:00Z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